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7"/>
        <w:rPr>
          <w:sz w:val="24"/>
        </w:rPr>
        <w:outlineLvl w:val="0"/>
      </w:pPr>
      <w:r>
        <w:rPr>
          <w:sz w:val="24"/>
        </w:rPr>
        <w:t xml:space="preserve">Д О Г О В О </w:t>
      </w:r>
      <w:r>
        <w:rPr>
          <w:sz w:val="24"/>
        </w:rPr>
        <w:t xml:space="preserve">Р</w:t>
      </w:r>
      <w:r>
        <w:rPr>
          <w:sz w:val="24"/>
        </w:rPr>
        <w:t xml:space="preserve"> </w:t>
      </w:r>
      <w:r>
        <w:rPr>
          <w:sz w:val="24"/>
        </w:rPr>
        <w:t xml:space="preserve">__</w:t>
      </w:r>
      <w:r>
        <w:rPr>
          <w:sz w:val="24"/>
        </w:rPr>
        <w:t xml:space="preserve">__</w:t>
      </w:r>
      <w:r>
        <w:rPr>
          <w:sz w:val="24"/>
        </w:rPr>
        <w:t xml:space="preserve">_____</w:t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  <w:t xml:space="preserve">г. Челябинск                                                           </w:t>
      </w:r>
      <w:r>
        <w:rPr>
          <w:sz w:val="24"/>
        </w:rPr>
        <w:t xml:space="preserve">                 </w:t>
      </w:r>
      <w:r>
        <w:rPr>
          <w:sz w:val="24"/>
        </w:rPr>
        <w:t xml:space="preserve">               </w:t>
      </w:r>
      <w:r>
        <w:rPr>
          <w:sz w:val="24"/>
        </w:rPr>
        <w:t xml:space="preserve">      </w:t>
      </w:r>
      <w:r>
        <w:rPr>
          <w:sz w:val="24"/>
        </w:rPr>
        <w:t xml:space="preserve">«</w:t>
      </w:r>
      <w:r>
        <w:rPr>
          <w:sz w:val="24"/>
        </w:rPr>
        <w:t xml:space="preserve">____</w:t>
      </w:r>
      <w:r>
        <w:rPr>
          <w:sz w:val="24"/>
        </w:rPr>
        <w:t xml:space="preserve">»  </w:t>
      </w:r>
      <w:r>
        <w:rPr>
          <w:sz w:val="24"/>
        </w:rPr>
        <w:t xml:space="preserve">_______</w:t>
      </w:r>
      <w:r>
        <w:rPr>
          <w:sz w:val="24"/>
        </w:rPr>
        <w:t xml:space="preserve"> </w:t>
      </w:r>
      <w:r>
        <w:rPr>
          <w:sz w:val="24"/>
        </w:rPr>
        <w:t xml:space="preserve">20</w:t>
      </w:r>
      <w:r>
        <w:rPr>
          <w:sz w:val="24"/>
        </w:rPr>
        <w:t xml:space="preserve">2</w:t>
      </w:r>
      <w:r>
        <w:rPr>
          <w:sz w:val="24"/>
        </w:rPr>
        <w:t xml:space="preserve">4</w:t>
      </w:r>
      <w:r>
        <w:rPr>
          <w:sz w:val="24"/>
        </w:rPr>
        <w:t xml:space="preserve"> года</w:t>
      </w:r>
      <w:r>
        <w:rPr>
          <w:sz w:val="24"/>
        </w:rPr>
        <w:t xml:space="preserve">.</w:t>
      </w:r>
      <w:r>
        <w:rPr>
          <w:sz w:val="24"/>
        </w:rPr>
        <w:t xml:space="preserve"> </w:t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</w:r>
    </w:p>
    <w:p>
      <w:pPr>
        <w:pStyle w:val="895"/>
        <w:ind w:firstLine="720"/>
        <w:jc w:val="both"/>
        <w:rPr>
          <w:lang w:val="ru-RU"/>
        </w:rPr>
      </w:pPr>
      <w:r>
        <w:rPr>
          <w:b/>
          <w:lang w:val="ru-RU"/>
        </w:rPr>
        <w:t xml:space="preserve">А</w:t>
      </w:r>
      <w:r>
        <w:rPr>
          <w:b/>
          <w:lang w:val="ru-RU"/>
        </w:rPr>
        <w:t xml:space="preserve">кционерное общество «Челябинский автомеханический завод» (АО «ЧАМЗ»)</w:t>
      </w:r>
      <w:r>
        <w:rPr>
          <w:lang w:val="ru-RU"/>
        </w:rPr>
        <w:t xml:space="preserve">, именуемое в дальнейшем </w:t>
      </w:r>
      <w:r>
        <w:rPr>
          <w:b/>
          <w:lang w:val="ru-RU"/>
        </w:rPr>
        <w:t xml:space="preserve">«Поставщик»</w:t>
      </w:r>
      <w:r>
        <w:rPr>
          <w:lang w:val="ru-RU"/>
        </w:rPr>
        <w:t xml:space="preserve"> в лице </w:t>
      </w:r>
      <w:r>
        <w:rPr>
          <w:b/>
          <w:lang w:val="ru-RU"/>
        </w:rPr>
        <w:t xml:space="preserve">Генерального </w:t>
      </w:r>
      <w:r>
        <w:rPr>
          <w:b/>
          <w:lang w:val="ru-RU"/>
        </w:rPr>
        <w:t xml:space="preserve">директора </w:t>
      </w:r>
      <w:r>
        <w:rPr>
          <w:b/>
          <w:lang w:val="ru-RU"/>
        </w:rPr>
        <w:t xml:space="preserve">Батяева</w:t>
      </w:r>
      <w:r>
        <w:rPr>
          <w:b/>
          <w:lang w:val="ru-RU"/>
        </w:rPr>
        <w:t xml:space="preserve"> Андрея Евгеньевича</w:t>
      </w:r>
      <w:r>
        <w:rPr>
          <w:lang w:val="ru-RU"/>
        </w:rPr>
        <w:t xml:space="preserve">, действующий на основании</w:t>
      </w:r>
      <w:r>
        <w:rPr>
          <w:lang w:val="ru-RU"/>
        </w:rPr>
        <w:t xml:space="preserve"> Устава</w:t>
      </w:r>
      <w:r>
        <w:rPr>
          <w:lang w:val="ru-RU"/>
        </w:rPr>
        <w:t xml:space="preserve">, с одной стороны, и</w:t>
      </w:r>
      <w:r>
        <w:rPr>
          <w:lang w:val="ru-RU"/>
        </w:rPr>
        <w:t xml:space="preserve"> </w:t>
      </w:r>
      <w:r>
        <w:rPr>
          <w:b/>
          <w:lang w:val="ru-RU"/>
        </w:rPr>
        <w:t xml:space="preserve">_____________________________________</w:t>
      </w:r>
      <w:r>
        <w:rPr>
          <w:b/>
          <w:lang w:val="ru-RU"/>
        </w:rPr>
        <w:t xml:space="preserve">,</w:t>
      </w:r>
      <w:r>
        <w:rPr>
          <w:lang w:val="ru-RU"/>
        </w:rPr>
        <w:t xml:space="preserve"> именуемый в дальнейшем </w:t>
      </w:r>
      <w:r>
        <w:rPr>
          <w:b/>
          <w:lang w:val="ru-RU"/>
        </w:rPr>
        <w:t xml:space="preserve">«Покупатель»</w:t>
      </w:r>
      <w:r>
        <w:rPr>
          <w:b/>
          <w:lang w:val="ru-RU"/>
        </w:rPr>
        <w:t xml:space="preserve"> </w:t>
      </w:r>
      <w:r>
        <w:rPr>
          <w:lang w:val="ru-RU"/>
        </w:rPr>
        <w:t xml:space="preserve">в лице </w:t>
      </w:r>
      <w:r>
        <w:rPr>
          <w:b/>
          <w:lang w:val="ru-RU"/>
        </w:rPr>
        <w:t xml:space="preserve">_____________________________________</w:t>
      </w:r>
      <w:r>
        <w:rPr>
          <w:lang w:val="ru-RU"/>
        </w:rPr>
        <w:t xml:space="preserve">, </w:t>
      </w:r>
      <w:r>
        <w:rPr>
          <w:lang w:val="ru-RU"/>
        </w:rPr>
        <w:t xml:space="preserve">действующего на основании </w:t>
      </w:r>
      <w:r>
        <w:rPr>
          <w:lang w:val="ru-RU"/>
        </w:rPr>
        <w:t xml:space="preserve">_____________</w:t>
      </w:r>
      <w:r>
        <w:rPr>
          <w:lang w:val="ru-RU"/>
        </w:rPr>
        <w:t xml:space="preserve">,</w:t>
      </w:r>
      <w:r>
        <w:rPr>
          <w:lang w:val="ru-RU"/>
        </w:rPr>
        <w:t xml:space="preserve"> </w:t>
      </w:r>
      <w:r>
        <w:t xml:space="preserve">c</w:t>
      </w:r>
      <w:r>
        <w:rPr>
          <w:lang w:val="ru-RU"/>
        </w:rPr>
        <w:t xml:space="preserve">  другой стороны, заключили настоящий договор о нижеследующем: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5"/>
        <w:jc w:val="center"/>
        <w:rPr>
          <w:b/>
          <w:u w:val="single"/>
          <w:lang w:val="ru-RU"/>
        </w:rPr>
      </w:pPr>
      <w:r>
        <w:rPr>
          <w:b/>
          <w:lang w:val="ru-RU"/>
        </w:rPr>
        <w:t xml:space="preserve">1. ПРЕДМЕТ  И  СУММА  ДОГОВОРА</w:t>
      </w:r>
      <w:r>
        <w:rPr>
          <w:b/>
          <w:u w:val="single"/>
          <w:lang w:val="ru-RU"/>
        </w:rPr>
      </w:r>
    </w:p>
    <w:p>
      <w:pPr>
        <w:pStyle w:val="895"/>
        <w:jc w:val="both"/>
        <w:rPr>
          <w:b/>
          <w:szCs w:val="24"/>
          <w:lang w:val="ru-RU"/>
        </w:rPr>
      </w:pPr>
      <w:r>
        <w:rPr>
          <w:b/>
          <w:lang w:val="ru-RU"/>
        </w:rPr>
        <w:t xml:space="preserve">1.1.</w:t>
      </w:r>
      <w:r>
        <w:rPr>
          <w:lang w:val="ru-RU"/>
        </w:rPr>
        <w:t xml:space="preserve"> "Поставщик" обязуется поставить, а "Покупатель" - принять и оплатить продукцию в номенклатуре, количестве, сроки и на сумму в соответствии с заявками Покупателя. Поставляемая по данному договору продукция – </w:t>
      </w:r>
      <w:r>
        <w:rPr>
          <w:b/>
          <w:lang w:val="ru-RU"/>
        </w:rPr>
        <w:t xml:space="preserve">детали газораспределительного механизма двигателей внутреннего сгорания: клапаны и толкатели клапанов, применяются как запасные части</w:t>
      </w:r>
      <w:r>
        <w:rPr>
          <w:b/>
          <w:szCs w:val="24"/>
          <w:lang w:val="ru-RU"/>
        </w:rPr>
        <w:t xml:space="preserve">.</w:t>
      </w:r>
      <w:r>
        <w:rPr>
          <w:b/>
          <w:szCs w:val="24"/>
          <w:lang w:val="ru-RU"/>
        </w:rPr>
      </w:r>
    </w:p>
    <w:p>
      <w:pPr>
        <w:pStyle w:val="895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1.2. </w:t>
      </w:r>
      <w:r>
        <w:rPr>
          <w:szCs w:val="24"/>
          <w:lang w:val="ru-RU"/>
        </w:rPr>
        <w:t xml:space="preserve"> «Поставщик» и «Покупатель» берут на себя обязательства по продвижению на рынок клапанной продукции,  как продукции гарантированного качества.</w:t>
      </w:r>
      <w:r>
        <w:rPr>
          <w:szCs w:val="24"/>
          <w:lang w:val="ru-RU"/>
        </w:rPr>
      </w:r>
    </w:p>
    <w:p>
      <w:pPr>
        <w:pStyle w:val="895"/>
        <w:jc w:val="both"/>
        <w:rPr>
          <w:b/>
          <w:lang w:val="ru-RU"/>
        </w:rPr>
      </w:pPr>
      <w:r>
        <w:rPr>
          <w:b/>
          <w:lang w:val="ru-RU"/>
        </w:rPr>
        <w:t xml:space="preserve">1.3.</w:t>
      </w:r>
      <w:r>
        <w:rPr>
          <w:lang w:val="ru-RU"/>
        </w:rPr>
        <w:t xml:space="preserve"> Сумма договора определяется в соответствии с заявками.</w:t>
      </w:r>
      <w:r>
        <w:rPr>
          <w:b/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  <w:t xml:space="preserve">2.  КАЧЕСТВО  ПРОДУКЦИИ</w:t>
      </w:r>
      <w:r>
        <w:rPr>
          <w:b/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2.1</w:t>
      </w:r>
      <w:r>
        <w:rPr>
          <w:lang w:val="ru-RU"/>
        </w:rPr>
        <w:t xml:space="preserve">. "Поставщик" гарантирует соответствие качества поставляемой продукции требованиям технической документации. Поставщик гарантирует, что поставляемая продукция должна быть без видимых повреждений</w:t>
      </w:r>
      <w:r>
        <w:rPr>
          <w:lang w:val="ru-RU"/>
        </w:rPr>
        <w:t xml:space="preserve">, новый, не бывший в употреблении, ремонте.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2.2.</w:t>
      </w:r>
      <w:r>
        <w:rPr>
          <w:lang w:val="ru-RU"/>
        </w:rPr>
        <w:t xml:space="preserve"> Документ, удостоверяющий качество продукции (сертификат), "Поставщик" направляет "Покупателю" вложенными в каждое тарное место или вместе с универсальным передаточным документом (УПД) на продукцию.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2.3.</w:t>
      </w:r>
      <w:r>
        <w:rPr>
          <w:lang w:val="ru-RU"/>
        </w:rPr>
        <w:t xml:space="preserve"> Приемка продукции осуществляется в соответствии с  Инструкциями № П-6 от 15.06.1965 и № П-7 от 25.04.</w:t>
      </w:r>
      <w:r>
        <w:rPr>
          <w:b/>
          <w:lang w:val="ru-RU"/>
        </w:rPr>
        <w:t xml:space="preserve">19</w:t>
      </w:r>
      <w:r>
        <w:rPr>
          <w:b/>
          <w:lang w:val="ru-RU"/>
        </w:rPr>
        <w:t xml:space="preserve">6</w:t>
      </w:r>
      <w:r>
        <w:rPr>
          <w:b/>
          <w:lang w:val="ru-RU"/>
        </w:rPr>
        <w:t xml:space="preserve">6г</w:t>
      </w:r>
      <w:r>
        <w:rPr>
          <w:lang w:val="ru-RU"/>
        </w:rPr>
        <w:t xml:space="preserve">. с последующими изменениями и дополнениями. Осмотр, контроль и испытания полученной «Покупателем» продукции должны проводиться </w:t>
      </w:r>
      <w:r>
        <w:rPr>
          <w:lang w:val="ru-RU"/>
        </w:rPr>
        <w:t xml:space="preserve">по</w:t>
      </w:r>
      <w:r>
        <w:rPr>
          <w:lang w:val="ru-RU"/>
        </w:rPr>
        <w:t xml:space="preserve"> согласованным между сторонами методиками (инструкциями).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2.4.</w:t>
      </w:r>
      <w:r>
        <w:rPr>
          <w:lang w:val="ru-RU"/>
        </w:rPr>
        <w:t xml:space="preserve"> При обнаружении продукции не надлежащего качества "Покупатель" обязан поставить в известность "Поставщика" и изолировать забракованную продукцию до прибытия представителя "Поставщика" или до решения "Поставщика" о возврате ее на завод.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2.5.</w:t>
      </w:r>
      <w:r>
        <w:rPr>
          <w:lang w:val="ru-RU"/>
        </w:rPr>
        <w:t xml:space="preserve"> Забракованная продукция  подлежит возврату в 20-дневный срок </w:t>
      </w:r>
      <w:r>
        <w:rPr>
          <w:lang w:val="ru-RU"/>
        </w:rPr>
        <w:t xml:space="preserve">с даты  установления</w:t>
      </w:r>
      <w:r>
        <w:rPr>
          <w:lang w:val="ru-RU"/>
        </w:rPr>
        <w:t xml:space="preserve"> брака. Замена забракованной продукции производиться в 30-дневный срок с момента возвращения ее «Поставщику», с отнесением транспортных расходов на «Поставщика». 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2.6.</w:t>
      </w:r>
      <w:r>
        <w:rPr>
          <w:lang w:val="ru-RU"/>
        </w:rPr>
        <w:t xml:space="preserve"> "Поставщик" оставляет за собой прав</w:t>
      </w:r>
      <w:r>
        <w:rPr>
          <w:lang w:val="ru-RU"/>
        </w:rPr>
        <w:t xml:space="preserve">о 100% перепроверке забракованной продукции и предъявления годной продукции к повторной приемке. Разбраковке подвергается только продукция в состоянии поставки "Покупателю". Поставщик, по согласованию с Покупателем, обязан заменить забракованную продукцию </w:t>
      </w:r>
      <w:r>
        <w:rPr>
          <w:lang w:val="ru-RU"/>
        </w:rPr>
        <w:t xml:space="preserve">на</w:t>
      </w:r>
      <w:r>
        <w:rPr>
          <w:lang w:val="ru-RU"/>
        </w:rPr>
        <w:t xml:space="preserve"> годную. В случае невозможности</w:t>
      </w:r>
      <w:r>
        <w:rPr>
          <w:lang w:val="ru-RU"/>
        </w:rPr>
        <w:t xml:space="preserve"> замены Поставщик вправе вернуть оплаченную сумму на расчетный счет Покупателя в течение 5 (пяти) рабочих дней с момента получения требования о возврате денежных средств. Покупатель возвращает  забракованную продукцию по акту. Поставщик предает Покупателю </w:t>
      </w:r>
      <w:r>
        <w:rPr>
          <w:lang w:val="ru-RU"/>
        </w:rPr>
        <w:t xml:space="preserve">корректировочную</w:t>
      </w:r>
      <w:r>
        <w:rPr>
          <w:lang w:val="ru-RU"/>
        </w:rPr>
        <w:t xml:space="preserve"> счет-фактуру или  универсальный корректировочный документ (УКД). Стоимость возвращаемой забракованной продукции соответствует цене покупки.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2.7.</w:t>
      </w:r>
      <w:r>
        <w:rPr>
          <w:lang w:val="ru-RU"/>
        </w:rPr>
        <w:t xml:space="preserve"> "Поставщик" обеспечивает функционирование на предприятии системы качества в соответствии с требованиями </w:t>
      </w:r>
      <w:r>
        <w:rPr>
          <w:lang w:val="ru-RU"/>
        </w:rPr>
        <w:t xml:space="preserve">ГОСТ </w:t>
      </w:r>
      <w:r>
        <w:rPr>
          <w:lang w:val="ru-RU"/>
        </w:rPr>
        <w:t xml:space="preserve">Р</w:t>
      </w:r>
      <w:r>
        <w:rPr>
          <w:lang w:val="ru-RU"/>
        </w:rPr>
        <w:t xml:space="preserve"> ИСО 9001-2015</w:t>
      </w:r>
      <w:r>
        <w:rPr>
          <w:lang w:val="ru-RU"/>
        </w:rPr>
        <w:t xml:space="preserve">.</w:t>
      </w:r>
      <w:r>
        <w:rPr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  <w:t xml:space="preserve">3.  КОМПЛЕКТНОСТЬ,  ПОРЯДОК  И  СРОКИ  ПОСТАВКИ</w:t>
      </w:r>
      <w:r>
        <w:rPr>
          <w:b/>
          <w:lang w:val="ru-RU"/>
        </w:rPr>
      </w:r>
    </w:p>
    <w:p>
      <w:pPr>
        <w:pStyle w:val="895"/>
        <w:jc w:val="both"/>
        <w:rPr>
          <w:szCs w:val="24"/>
          <w:lang w:val="ru-RU"/>
        </w:rPr>
      </w:pPr>
      <w:r>
        <w:rPr>
          <w:b/>
          <w:lang w:val="ru-RU"/>
        </w:rPr>
        <w:t xml:space="preserve">3.1</w:t>
      </w:r>
      <w:r>
        <w:rPr>
          <w:szCs w:val="24"/>
          <w:lang w:val="ru-RU"/>
        </w:rPr>
        <w:t xml:space="preserve"> Периодом поставки является календарный месяц. Заявка, включающая график поставки,               направляется «Покупателем» « Поставщику» за 10 (десять) дней до начала периода поставки. </w:t>
      </w:r>
      <w:r>
        <w:rPr>
          <w:szCs w:val="24"/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szCs w:val="24"/>
          <w:lang w:val="ru-RU"/>
        </w:rPr>
        <w:t xml:space="preserve">Продукция поставляется в течение месяца по согласованному сторонами графику.  </w:t>
      </w:r>
      <w:r>
        <w:rPr>
          <w:lang w:val="ru-RU"/>
        </w:rPr>
      </w:r>
    </w:p>
    <w:p>
      <w:pPr>
        <w:pStyle w:val="895"/>
        <w:jc w:val="both"/>
        <w:rPr>
          <w:szCs w:val="24"/>
          <w:lang w:val="ru-RU"/>
        </w:rPr>
      </w:pPr>
      <w:r>
        <w:rPr>
          <w:b/>
          <w:bCs/>
          <w:szCs w:val="24"/>
          <w:lang w:val="ru-RU"/>
        </w:rPr>
        <w:t xml:space="preserve">3.2. </w:t>
      </w:r>
      <w:r>
        <w:rPr>
          <w:szCs w:val="24"/>
          <w:lang w:val="ru-RU"/>
        </w:rPr>
        <w:t xml:space="preserve">Поставка продукции производитс</w:t>
      </w:r>
      <w:r>
        <w:rPr>
          <w:szCs w:val="24"/>
          <w:lang w:val="ru-RU"/>
        </w:rPr>
        <w:t xml:space="preserve">я автотранспортом «Покупателя», либо по его поручению третьими лицами со склада «Поставщика», с отнесением транспортных расходов на «Покупателя» на основании подтверждающих  документов в соответствии с действующими на дату отгрузки транспортными тарифами. </w:t>
      </w:r>
      <w:r>
        <w:rPr>
          <w:szCs w:val="24"/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bCs/>
          <w:lang w:val="ru-RU"/>
        </w:rPr>
        <w:t xml:space="preserve">3.3. </w:t>
      </w:r>
      <w:r>
        <w:rPr>
          <w:lang w:val="ru-RU"/>
        </w:rPr>
        <w:t xml:space="preserve">Основанием  для получения  «Покупателем» груза к перевозке с материальной ответственностью (ст. 50 УАТ РФ), является доверенность, заверенная печатью «Покупателя» при предъявлении водителем-экспедитором документов, удостоверяющих его личность. 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bCs/>
          <w:lang w:val="ru-RU"/>
        </w:rPr>
        <w:t xml:space="preserve">3.4. </w:t>
      </w:r>
      <w:r>
        <w:rPr>
          <w:lang w:val="ru-RU"/>
        </w:rPr>
        <w:t xml:space="preserve">«Поставщик» при отгрузке продукции обязан выдать водителю надлежащим образом оформленные документы. </w:t>
      </w:r>
      <w:r>
        <w:rPr>
          <w:lang w:val="ru-RU"/>
        </w:rPr>
      </w:r>
    </w:p>
    <w:p>
      <w:pPr>
        <w:jc w:val="both"/>
        <w:rPr>
          <w:b/>
          <w:sz w:val="24"/>
        </w:rPr>
      </w:pPr>
      <w:r>
        <w:rPr>
          <w:b/>
          <w:sz w:val="24"/>
        </w:rPr>
        <w:t xml:space="preserve">3.5.</w:t>
      </w:r>
      <w:r>
        <w:rPr>
          <w:sz w:val="24"/>
        </w:rPr>
        <w:t xml:space="preserve"> Датой исполнения «Поставщиком» обязательств по поставке продукции, а также моментом перехода права собственности на продукцию, риска случайной гибели или случайного повреждения имущества считается дата передачи продукции «Покупателю» в случае </w:t>
      </w:r>
      <w:r>
        <w:rPr>
          <w:sz w:val="24"/>
        </w:rPr>
        <w:t xml:space="preserve">самовывоза</w:t>
      </w:r>
      <w:r>
        <w:rPr>
          <w:sz w:val="24"/>
        </w:rPr>
        <w:t xml:space="preserve">, или дата передачи продукции Перевозчику.</w:t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</w:r>
      <w:r>
        <w:rPr>
          <w:b/>
          <w:sz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4. ЦЕНЫ, ПОРЯДОК  РАСЧЕТОВ, ОТВЕТСТВЕННОСТЬ</w:t>
      </w:r>
      <w:r>
        <w:rPr>
          <w:b/>
          <w:sz w:val="24"/>
        </w:rPr>
      </w:r>
    </w:p>
    <w:p>
      <w:pPr>
        <w:jc w:val="both"/>
        <w:rPr>
          <w:sz w:val="24"/>
        </w:rPr>
      </w:pPr>
      <w:r>
        <w:rPr>
          <w:b/>
          <w:sz w:val="24"/>
        </w:rPr>
        <w:t xml:space="preserve">4.1.</w:t>
      </w:r>
      <w:r>
        <w:rPr>
          <w:sz w:val="24"/>
        </w:rPr>
        <w:t xml:space="preserve"> </w:t>
      </w:r>
      <w:r>
        <w:rPr>
          <w:color w:val="000000"/>
          <w:sz w:val="24"/>
          <w:szCs w:val="24"/>
        </w:rPr>
        <w:t xml:space="preserve">Покупатель направляет Поставщику заявку с указанием номенклатуры заказываемой Продукции. </w:t>
      </w:r>
      <w:r>
        <w:rPr>
          <w:sz w:val="24"/>
          <w:szCs w:val="24"/>
        </w:rPr>
        <w:t xml:space="preserve">Цена на поставляемую Продукцию принимается Сторонами </w:t>
      </w:r>
      <w:r>
        <w:rPr>
          <w:sz w:val="24"/>
          <w:szCs w:val="24"/>
        </w:rPr>
        <w:t xml:space="preserve">согласно прайс-листа</w:t>
      </w:r>
      <w:r>
        <w:rPr>
          <w:sz w:val="24"/>
          <w:szCs w:val="24"/>
        </w:rPr>
        <w:t xml:space="preserve"> Поставщика, действующего на момент поступления заявки от Покупателя на поставку Продукции, и включает в себя НДС. </w:t>
      </w:r>
      <w:r>
        <w:rPr>
          <w:sz w:val="24"/>
        </w:rPr>
        <w:t xml:space="preserve">Цены на поставляемую продукцию  могут изменяться в зависимости от объемов месячной поставки и/или качества продукции</w:t>
      </w:r>
      <w:r>
        <w:rPr>
          <w:sz w:val="24"/>
        </w:rPr>
      </w:r>
    </w:p>
    <w:p>
      <w:pPr>
        <w:jc w:val="both"/>
      </w:pPr>
      <w:r>
        <w:rPr>
          <w:b/>
          <w:sz w:val="24"/>
        </w:rPr>
        <w:t xml:space="preserve">4.2.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Форма расчета – предоплата 100% . Продукция оплачивается по ценам, действующим на момент оплаты, путем перечисления денежных средств на его расчетный счет Поставщика.</w:t>
      </w:r>
      <w:r>
        <w:rPr>
          <w:bCs/>
          <w:sz w:val="24"/>
          <w:szCs w:val="24"/>
        </w:rPr>
        <w:t xml:space="preserve"> Отгрузка продукции производится в течени</w:t>
      </w:r>
      <w:r>
        <w:rPr>
          <w:bCs/>
          <w:sz w:val="24"/>
          <w:szCs w:val="24"/>
        </w:rPr>
        <w:t xml:space="preserve">и</w:t>
      </w:r>
      <w:r>
        <w:rPr>
          <w:bCs/>
          <w:sz w:val="24"/>
          <w:szCs w:val="24"/>
        </w:rPr>
        <w:t xml:space="preserve"> 5-ти рабочих дней с момента оплаты. Моментом оплаты считается дата поступления денежных средств на расчетный счет «Поставщика».</w:t>
      </w:r>
      <w:r/>
    </w:p>
    <w:p>
      <w:pPr>
        <w:jc w:val="both"/>
        <w:rPr>
          <w:color w:val="000000"/>
          <w:sz w:val="24"/>
          <w:szCs w:val="24"/>
        </w:rPr>
      </w:pPr>
      <w:r>
        <w:rPr>
          <w:b/>
          <w:sz w:val="24"/>
        </w:rPr>
        <w:t xml:space="preserve">4.3.</w:t>
      </w:r>
      <w:r>
        <w:rPr>
          <w:sz w:val="24"/>
        </w:rPr>
        <w:t xml:space="preserve"> </w:t>
      </w:r>
      <w:r>
        <w:rPr>
          <w:sz w:val="24"/>
          <w:szCs w:val="24"/>
        </w:rPr>
        <w:t xml:space="preserve">П</w:t>
      </w:r>
      <w:r>
        <w:rPr>
          <w:color w:val="000000"/>
          <w:sz w:val="24"/>
          <w:szCs w:val="24"/>
        </w:rPr>
        <w:t xml:space="preserve">оставщик акцептует заявку </w:t>
      </w:r>
      <w:r>
        <w:rPr>
          <w:color w:val="000000"/>
          <w:sz w:val="24"/>
          <w:szCs w:val="24"/>
        </w:rPr>
        <w:t xml:space="preserve">Покупателя путем выставления счета. Счёт, выставленный Поставщиком, действителен к оплате в течение 3-х банковских дней, в противном случае заявка считается неакцептованной. Неакцептованная заявка не порождает для Поставщика никаких юридических последствий</w:t>
      </w:r>
      <w:r>
        <w:rPr>
          <w:color w:val="000000"/>
          <w:sz w:val="24"/>
          <w:szCs w:val="24"/>
        </w:rPr>
      </w:r>
    </w:p>
    <w:p>
      <w:pPr>
        <w:jc w:val="both"/>
        <w:rPr>
          <w:sz w:val="24"/>
        </w:rPr>
      </w:pPr>
      <w:r>
        <w:rPr>
          <w:b/>
          <w:sz w:val="24"/>
        </w:rPr>
        <w:t xml:space="preserve">4.4.</w:t>
      </w:r>
      <w:r>
        <w:rPr>
          <w:sz w:val="24"/>
        </w:rPr>
        <w:t xml:space="preserve"> По окончании календарного месяца «Покупатель» направляет «Поставщику» акт сверки расчетов за истекший месяц, который «Поставщик» в</w:t>
      </w:r>
      <w:r>
        <w:rPr>
          <w:sz w:val="24"/>
        </w:rPr>
        <w:t xml:space="preserve"> течение 5 календарных дней со дня получения обязан рассмотреть, подписать, скрепить круглой печатью и направить «Покупателю». При несогласии с актом сверки «Поставщик» подписывает и направляет «Покупателю» в те же сроки акт сверки вместе с разногласиями. </w:t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b/>
          <w:sz w:val="24"/>
        </w:rPr>
        <w:t xml:space="preserve">4.5.</w:t>
      </w:r>
      <w:r>
        <w:rPr>
          <w:sz w:val="24"/>
        </w:rPr>
        <w:t xml:space="preserve"> Стороны возмещают друг другу убытки, причиненные неисполнением или ненадлежащим исполнением обязательств по договору. Убытки взыскиваются сторонами в полной сумме сверх установленных законом и договором неустоек, пени и штрафов.</w:t>
      </w:r>
      <w:r>
        <w:rPr>
          <w:sz w:val="24"/>
        </w:rPr>
      </w:r>
    </w:p>
    <w:p>
      <w:pPr>
        <w:rPr>
          <w:b/>
          <w:sz w:val="24"/>
        </w:rPr>
      </w:pPr>
      <w:r>
        <w:rPr>
          <w:b/>
          <w:bCs/>
          <w:sz w:val="24"/>
        </w:rPr>
        <w:t xml:space="preserve">4.6.</w:t>
      </w:r>
      <w:r>
        <w:rPr>
          <w:sz w:val="24"/>
        </w:rPr>
        <w:t xml:space="preserve"> Санкции, а также суммы взысканного ущерба (убытков) отражаются в учете с момента вступления в законную силу решения суда, предусматривающего их уплату, либо с момента признания их второй стороной по договору в досудебном порядке.</w:t>
      </w:r>
      <w:r>
        <w:rPr>
          <w:b/>
          <w:sz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 ТАРА  И  УПАКОВКА</w:t>
      </w:r>
      <w:r>
        <w:rPr>
          <w:b/>
          <w:sz w:val="24"/>
          <w:szCs w:val="24"/>
        </w:rPr>
      </w:r>
    </w:p>
    <w:p>
      <w:pPr>
        <w:pStyle w:val="896"/>
        <w:rPr>
          <w:szCs w:val="24"/>
        </w:rPr>
      </w:pPr>
      <w:r>
        <w:rPr>
          <w:szCs w:val="24"/>
        </w:rPr>
        <w:t xml:space="preserve"> </w:t>
      </w:r>
      <w:r>
        <w:rPr>
          <w:b/>
          <w:szCs w:val="24"/>
        </w:rPr>
        <w:t xml:space="preserve">5.1.</w:t>
      </w:r>
      <w:r>
        <w:rPr>
          <w:szCs w:val="24"/>
        </w:rPr>
        <w:t xml:space="preserve"> «Поставщик» поставляет продукцию в таре и упаковке, соответствующей требованиям нормативной документации и обеспечивающей сохранность и качество продукции при перевозке и хранении.</w:t>
      </w:r>
      <w:r>
        <w:rPr>
          <w:szCs w:val="24"/>
        </w:rPr>
      </w:r>
    </w:p>
    <w:p>
      <w:pPr>
        <w:pStyle w:val="896"/>
        <w:rPr>
          <w:szCs w:val="24"/>
        </w:rPr>
      </w:pPr>
      <w:r>
        <w:rPr>
          <w:b/>
          <w:bCs/>
          <w:szCs w:val="24"/>
        </w:rPr>
        <w:t xml:space="preserve">5.2. </w:t>
      </w:r>
      <w:r>
        <w:rPr>
          <w:szCs w:val="24"/>
        </w:rPr>
        <w:t xml:space="preserve">Поставка продукции производится в картонных коробках (упаковке). Упаковка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возврату не</w:t>
      </w:r>
      <w:r>
        <w:rPr>
          <w:b/>
          <w:bCs/>
          <w:szCs w:val="24"/>
        </w:rPr>
        <w:t xml:space="preserve"> </w:t>
      </w:r>
      <w:r>
        <w:rPr>
          <w:szCs w:val="24"/>
        </w:rPr>
        <w:t xml:space="preserve">подлежит, стоимость упаковки не входит в цену продукции и оплачивается «Покупателем» отдельно.</w:t>
      </w:r>
      <w:r>
        <w:rPr>
          <w:szCs w:val="24"/>
        </w:rPr>
      </w:r>
    </w:p>
    <w:p>
      <w:pPr>
        <w:jc w:val="center"/>
        <w:rPr>
          <w:b/>
          <w:sz w:val="24"/>
        </w:rPr>
      </w:pPr>
      <w:r>
        <w:rPr>
          <w:b/>
          <w:sz w:val="24"/>
        </w:rPr>
        <w:t xml:space="preserve">6.  </w:t>
      </w:r>
      <w:r>
        <w:rPr>
          <w:b/>
          <w:sz w:val="24"/>
        </w:rPr>
        <w:t xml:space="preserve">ФОРС</w:t>
      </w:r>
      <w:r>
        <w:rPr>
          <w:b/>
          <w:sz w:val="24"/>
        </w:rPr>
        <w:t xml:space="preserve"> - МАЖОР</w:t>
      </w:r>
      <w:r>
        <w:rPr>
          <w:b/>
          <w:sz w:val="24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6.1.</w:t>
      </w:r>
      <w:r>
        <w:rPr>
          <w:lang w:val="ru-RU"/>
        </w:rPr>
        <w:t xml:space="preserve"> При возникновении </w:t>
      </w:r>
      <w:r>
        <w:rPr>
          <w:lang w:val="ru-RU"/>
        </w:rPr>
        <w:t xml:space="preserve">форс</w:t>
      </w:r>
      <w:r>
        <w:rPr>
          <w:lang w:val="ru-RU"/>
        </w:rPr>
        <w:t xml:space="preserve"> - мажорных обстоятельств, препятствующих выполнению дан</w:t>
      </w:r>
      <w:r>
        <w:rPr>
          <w:lang w:val="ru-RU"/>
        </w:rPr>
        <w:t xml:space="preserve">ного договора (стихийные бедствия, забастовки, война и военные действия или действия исполнительной и/или законодательной власти, возникшие после вступления договора в силу), вопрос имущественной ответственности сторон решается с учетом этих обстоятельств.</w:t>
      </w:r>
      <w:r>
        <w:rPr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  <w:t xml:space="preserve">7. ДОПОЛНИТЕЛЬНЫЕ  УСЛОВИЯ</w:t>
      </w:r>
      <w:r>
        <w:rPr>
          <w:b/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7.1</w:t>
      </w:r>
      <w:r>
        <w:rPr>
          <w:lang w:val="ru-RU"/>
        </w:rPr>
        <w:t xml:space="preserve"> Невыполнение "Покупателем" своих обязанностей по пунктам 4.2., 4.3. договора освобождает от ответственности "Поставщика" за не поставку продукции.</w:t>
      </w:r>
      <w:r>
        <w:rPr>
          <w:lang w:val="ru-RU"/>
        </w:rPr>
      </w:r>
    </w:p>
    <w:p>
      <w:pPr>
        <w:pStyle w:val="895"/>
        <w:jc w:val="both"/>
        <w:rPr>
          <w:szCs w:val="24"/>
          <w:lang w:val="ru-RU"/>
        </w:rPr>
      </w:pPr>
      <w:r>
        <w:rPr>
          <w:b/>
          <w:lang w:val="ru-RU"/>
        </w:rPr>
        <w:t xml:space="preserve">7.2.</w:t>
      </w:r>
      <w:r>
        <w:rPr>
          <w:lang w:val="ru-RU"/>
        </w:rPr>
        <w:t xml:space="preserve"> </w:t>
      </w:r>
      <w:r>
        <w:rPr>
          <w:szCs w:val="24"/>
          <w:lang w:val="ru-RU"/>
        </w:rPr>
        <w:t xml:space="preserve">Настоящий </w:t>
      </w:r>
      <w:r>
        <w:rPr>
          <w:szCs w:val="24"/>
          <w:lang w:val="ru-RU"/>
        </w:rPr>
        <w:t xml:space="preserve">договор</w:t>
      </w:r>
      <w:r>
        <w:rPr>
          <w:szCs w:val="24"/>
          <w:lang w:val="ru-RU"/>
        </w:rPr>
        <w:t xml:space="preserve"> может быть расторгнут или условия е</w:t>
      </w:r>
      <w:r>
        <w:rPr>
          <w:szCs w:val="24"/>
          <w:lang w:val="ru-RU"/>
        </w:rPr>
        <w:t xml:space="preserve">го изменены по взаимному соглашению сторон в любое время. Изменения к договору будут считаться действительными только в том случае, если они оформлены в письменном виде и направлены другой стороне не менее чем за 30 рабочих дней до начала периода поставки.</w:t>
      </w:r>
      <w:r>
        <w:rPr>
          <w:szCs w:val="24"/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7.3.</w:t>
      </w:r>
      <w:r>
        <w:rPr>
          <w:lang w:val="ru-RU"/>
        </w:rPr>
        <w:t xml:space="preserve"> При необходимости "Поставщик" вправе затребовать от "Покупателя" документы, подтверждающие его правовой статус, выписку из Устава предприятия, копию свидетельства постановки на налоговый учет.</w:t>
      </w:r>
      <w:r>
        <w:rPr>
          <w:lang w:val="ru-RU"/>
        </w:rPr>
      </w:r>
    </w:p>
    <w:p>
      <w:pPr>
        <w:pStyle w:val="895"/>
        <w:jc w:val="both"/>
        <w:rPr>
          <w:bCs/>
          <w:lang w:val="ru-RU"/>
        </w:rPr>
      </w:pPr>
      <w:r>
        <w:rPr>
          <w:b/>
          <w:lang w:val="ru-RU"/>
        </w:rPr>
        <w:t xml:space="preserve">7.4. </w:t>
      </w:r>
      <w:r>
        <w:rPr>
          <w:bCs/>
          <w:lang w:val="ru-RU"/>
        </w:rPr>
        <w:t xml:space="preserve">Все изменения, дополнения и приложения (протоколы согласования и другие документы) к настоящему договору являются его не</w:t>
      </w:r>
      <w:r>
        <w:rPr>
          <w:bCs/>
          <w:lang w:val="ru-RU"/>
        </w:rPr>
        <w:t xml:space="preserve">отъемлемой частью, если они подписаны уполномоченными  представителями сторон и скреплены печатями сторон. При этом стороны допускают факсимильное воспроизведение подписи и печатей сторон с последующим обязательным обменом подлинными экземплярами по почте.</w:t>
      </w:r>
      <w:r>
        <w:rPr>
          <w:bCs/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7.5.</w:t>
      </w:r>
      <w:r>
        <w:rPr>
          <w:lang w:val="ru-RU"/>
        </w:rPr>
        <w:t xml:space="preserve"> Срок для рассмотрения, согласования  и возврата </w:t>
      </w:r>
      <w:r>
        <w:rPr>
          <w:lang w:val="ru-RU"/>
        </w:rPr>
        <w:t xml:space="preserve">документов</w:t>
      </w:r>
      <w:r>
        <w:rPr>
          <w:lang w:val="ru-RU"/>
        </w:rPr>
        <w:t xml:space="preserve"> имеющих отношение к настоящему договору один  месяц.  В случае не соблюдения одной из сторон этого срока другая сторона вправе приостановить исполнение своих обязательств по договору до получения документа, подлежащего представлению. 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7.6.</w:t>
      </w:r>
      <w:r>
        <w:rPr>
          <w:lang w:val="ru-RU"/>
        </w:rPr>
        <w:t xml:space="preserve"> Стороны обязаны незамедлительно письменно извещать друг друга об изменении своего адреса, платежных отгрузочных и прочих реквизитов, способствующих исполнению настоящего договора.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7.7.</w:t>
      </w:r>
      <w:r>
        <w:rPr>
          <w:lang w:val="ru-RU"/>
        </w:rPr>
        <w:t xml:space="preserve"> Возмещение убытков в случае неисполнения обязательств по договору, уплата неустойки и банковских процентов за его неисполнение не освобождает виновную сторону от исполнения обязательств по договору.</w:t>
      </w:r>
      <w:r>
        <w:rPr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7.8. </w:t>
      </w:r>
      <w:r>
        <w:rPr>
          <w:lang w:val="ru-RU"/>
        </w:rPr>
        <w:t xml:space="preserve">Все споры, возникшие при заключении и исполнении договора рассматриваются</w:t>
      </w:r>
      <w:r>
        <w:rPr>
          <w:lang w:val="ru-RU"/>
        </w:rPr>
        <w:t xml:space="preserve"> в Арбитражном суде по месту </w:t>
      </w:r>
      <w:r>
        <w:rPr>
          <w:lang w:val="ru-RU"/>
        </w:rPr>
        <w:t xml:space="preserve">нахождения Поставщика</w:t>
      </w:r>
      <w:r>
        <w:rPr>
          <w:lang w:val="ru-RU"/>
        </w:rPr>
        <w:t xml:space="preserve">, с соблюдением претензионного порядка. Претензии рассматриваются в месячный срок с момента поступления стороне по договору.</w:t>
      </w:r>
      <w:r>
        <w:rPr>
          <w:lang w:val="ru-RU"/>
        </w:rPr>
      </w:r>
    </w:p>
    <w:p>
      <w:pPr>
        <w:pStyle w:val="895"/>
        <w:jc w:val="both"/>
        <w:rPr>
          <w:b/>
          <w:lang w:val="ru-RU"/>
        </w:rPr>
      </w:pPr>
      <w:r>
        <w:rPr>
          <w:b/>
          <w:lang w:val="ru-RU"/>
        </w:rPr>
        <w:t xml:space="preserve">7.9.</w:t>
      </w:r>
      <w:r>
        <w:rPr>
          <w:lang w:val="ru-RU"/>
        </w:rPr>
        <w:t xml:space="preserve"> Вопросы, не урегулированные настоящим договором, решаются в соответствии с действующим законодательством РФ.</w:t>
      </w:r>
      <w:r>
        <w:rPr>
          <w:b/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  <w:t xml:space="preserve">8.  СРОК  ДЕЙСТВИЯ  ДОГОВОРА</w:t>
      </w:r>
      <w:r>
        <w:rPr>
          <w:b/>
          <w:lang w:val="ru-RU"/>
        </w:rPr>
      </w:r>
    </w:p>
    <w:p>
      <w:pPr>
        <w:pStyle w:val="895"/>
        <w:jc w:val="both"/>
        <w:rPr>
          <w:lang w:val="ru-RU"/>
        </w:rPr>
      </w:pPr>
      <w:r>
        <w:rPr>
          <w:b/>
          <w:lang w:val="ru-RU"/>
        </w:rPr>
        <w:t xml:space="preserve">8</w:t>
      </w:r>
      <w:r>
        <w:rPr>
          <w:b/>
          <w:lang w:val="ru-RU"/>
        </w:rPr>
        <w:t xml:space="preserve">.1</w:t>
      </w:r>
      <w:r>
        <w:rPr>
          <w:lang w:val="ru-RU"/>
        </w:rPr>
        <w:t xml:space="preserve">. Срок действия договора </w:t>
      </w:r>
      <w:r>
        <w:rPr>
          <w:b/>
          <w:lang w:val="ru-RU"/>
        </w:rPr>
        <w:t xml:space="preserve">с  </w:t>
      </w:r>
      <w:r>
        <w:rPr>
          <w:b/>
          <w:lang w:val="ru-RU"/>
        </w:rPr>
        <w:t xml:space="preserve">________________</w:t>
      </w:r>
      <w:r>
        <w:rPr>
          <w:b/>
          <w:lang w:val="ru-RU"/>
        </w:rPr>
        <w:t xml:space="preserve">г</w:t>
      </w:r>
      <w:r>
        <w:rPr>
          <w:b/>
          <w:lang w:val="ru-RU"/>
        </w:rPr>
        <w:t xml:space="preserve">.</w:t>
      </w:r>
      <w:r>
        <w:rPr>
          <w:b/>
          <w:lang w:val="ru-RU"/>
        </w:rPr>
        <w:t xml:space="preserve"> по  </w:t>
      </w:r>
      <w:r>
        <w:rPr>
          <w:b/>
          <w:lang w:val="ru-RU"/>
        </w:rPr>
        <w:t xml:space="preserve">________________г</w:t>
      </w:r>
      <w:r>
        <w:rPr>
          <w:b/>
          <w:lang w:val="ru-RU"/>
        </w:rPr>
        <w:t xml:space="preserve">.</w:t>
      </w:r>
      <w:r>
        <w:rPr>
          <w:lang w:val="ru-RU"/>
        </w:rPr>
        <w:t xml:space="preserve"> Если</w:t>
      </w:r>
      <w:r>
        <w:rPr>
          <w:lang w:val="ru-RU"/>
        </w:rPr>
        <w:t xml:space="preserve"> за 30 дней до истечения срока де</w:t>
      </w:r>
      <w:r>
        <w:rPr>
          <w:lang w:val="ru-RU"/>
        </w:rPr>
        <w:t xml:space="preserve">йствия настоящего договора ни одна из сторон его не заявит о своем намерении не продлевать отношения по договору или заключить новый договор на существенно иных условиях, договор автоматически продлевается (пролонгируется) на следующий 12-ти месячный срок.</w:t>
      </w:r>
      <w:r>
        <w:rPr>
          <w:lang w:val="ru-RU"/>
        </w:rPr>
      </w:r>
    </w:p>
    <w:p>
      <w:pPr>
        <w:pStyle w:val="895"/>
        <w:rPr>
          <w:lang w:val="ru-RU"/>
        </w:rPr>
      </w:pPr>
      <w:r>
        <w:rPr>
          <w:lang w:val="ru-RU"/>
        </w:rPr>
      </w:r>
      <w:r>
        <w:rPr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  <w:t xml:space="preserve">  ЮРИДИЧЕСКИЕ  АДРЕСА  И    РЕКВИЗИТЫ  СТОРОН</w:t>
      </w:r>
      <w:r>
        <w:rPr>
          <w:b/>
          <w:lang w:val="ru-RU"/>
        </w:rPr>
      </w:r>
    </w:p>
    <w:p>
      <w:pPr>
        <w:pStyle w:val="895"/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</w:p>
    <w:p>
      <w:pPr>
        <w:rPr>
          <w:sz w:val="22"/>
        </w:rPr>
        <w:outlineLvl w:val="0"/>
      </w:pPr>
      <w:r>
        <w:rPr>
          <w:b/>
        </w:rPr>
        <w:t xml:space="preserve">"</w:t>
      </w:r>
      <w:r>
        <w:rPr>
          <w:b/>
          <w:i/>
        </w:rPr>
        <w:t xml:space="preserve">ПОСТАВЩИК":</w:t>
      </w:r>
      <w:r>
        <w:rPr>
          <w:i/>
        </w:rPr>
        <w:t xml:space="preserve">      </w:t>
      </w:r>
      <w:r>
        <w:t xml:space="preserve"> </w:t>
      </w:r>
      <w:r>
        <w:rPr>
          <w:i/>
          <w:iCs/>
        </w:rPr>
        <w:t xml:space="preserve">АО "ЧАМЗ"</w:t>
      </w:r>
      <w:r>
        <w:rPr>
          <w:sz w:val="22"/>
        </w:rPr>
      </w:r>
    </w:p>
    <w:p>
      <w:pPr>
        <w:rPr>
          <w:i/>
        </w:rPr>
      </w:pPr>
      <w:r>
        <w:rPr>
          <w:i/>
        </w:rPr>
        <w:t xml:space="preserve">454007   г. Челябинск, ул. Рождественского, 13      ИНН 7452001010</w:t>
      </w:r>
      <w:r>
        <w:rPr>
          <w:i/>
        </w:rPr>
      </w:r>
    </w:p>
    <w:p>
      <w:pPr>
        <w:rPr>
          <w:i/>
        </w:rPr>
      </w:pPr>
      <w:r>
        <w:rPr>
          <w:i/>
        </w:rPr>
        <w:t xml:space="preserve">ОКПО 00231834, ОГРН 1027403771889, КПП 745201001 </w:t>
      </w:r>
      <w:r>
        <w:rPr>
          <w:i/>
        </w:rPr>
      </w:r>
    </w:p>
    <w:p>
      <w:pPr>
        <w:rPr>
          <w:i/>
        </w:rPr>
      </w:pPr>
      <w:r>
        <w:rPr>
          <w:i/>
        </w:rPr>
        <w:t xml:space="preserve">р</w:t>
      </w:r>
      <w:r>
        <w:rPr>
          <w:i/>
        </w:rPr>
        <w:t xml:space="preserve">/счет № 40702810307250030227, к/с № 30101810400000000711 в  ПАО "</w:t>
      </w:r>
      <w:r>
        <w:rPr>
          <w:i/>
        </w:rPr>
        <w:t xml:space="preserve">Челиндбанк</w:t>
      </w:r>
      <w:r>
        <w:rPr>
          <w:i/>
        </w:rPr>
        <w:t xml:space="preserve">" г</w:t>
      </w:r>
      <w:r>
        <w:rPr>
          <w:i/>
        </w:rPr>
        <w:t xml:space="preserve">.Ч</w:t>
      </w:r>
      <w:r>
        <w:rPr>
          <w:i/>
        </w:rPr>
        <w:t xml:space="preserve">елябинск, </w:t>
      </w:r>
      <w:r>
        <w:rPr>
          <w:i/>
        </w:rPr>
      </w:r>
    </w:p>
    <w:p>
      <w:pPr>
        <w:rPr>
          <w:i/>
        </w:rPr>
      </w:pPr>
      <w:r>
        <w:rPr>
          <w:i/>
        </w:rPr>
        <w:t xml:space="preserve">БИК 047501711.     </w:t>
      </w:r>
      <w:r>
        <w:rPr>
          <w:i/>
        </w:rPr>
      </w:r>
    </w:p>
    <w:p>
      <w:pPr>
        <w:rPr>
          <w:i/>
        </w:rPr>
        <w:outlineLvl w:val="0"/>
      </w:pPr>
      <w:r>
        <w:rPr>
          <w:i/>
        </w:rPr>
        <w:t xml:space="preserve">Тел/факс (351) 775-02-95.</w:t>
      </w:r>
      <w:r>
        <w:rPr>
          <w:i/>
        </w:rPr>
      </w:r>
    </w:p>
    <w:p>
      <w:pPr>
        <w:outlineLvl w:val="0"/>
      </w:pPr>
      <w:r>
        <w:rPr>
          <w:i/>
        </w:rPr>
        <w:t xml:space="preserve">E-mail: </w:t>
      </w:r>
      <w:hyperlink r:id="rId11" w:tooltip="mailto:komdepart@chamz.ru" w:history="1">
        <w:r>
          <w:rPr>
            <w:rStyle w:val="877"/>
          </w:rPr>
          <w:t xml:space="preserve">komdepart@chamz.ru</w:t>
        </w:r>
      </w:hyperlink>
      <w:r/>
      <w:r/>
    </w:p>
    <w:p>
      <w:pPr>
        <w:rPr>
          <w:b/>
        </w:rPr>
        <w:outlineLvl w:val="0"/>
      </w:pPr>
      <w:r>
        <w:rPr>
          <w:b/>
        </w:rPr>
      </w:r>
      <w:r>
        <w:rPr>
          <w:b/>
        </w:rPr>
      </w:r>
    </w:p>
    <w:p>
      <w:pPr>
        <w:rPr>
          <w:i/>
          <w:iCs/>
        </w:rPr>
      </w:pPr>
      <w:r>
        <w:rPr>
          <w:b/>
        </w:rPr>
        <w:t xml:space="preserve"> </w:t>
      </w:r>
      <w:r>
        <w:rPr>
          <w:b/>
        </w:rPr>
        <w:t xml:space="preserve">"</w:t>
      </w:r>
      <w:r>
        <w:rPr>
          <w:b/>
          <w:i/>
        </w:rPr>
        <w:t xml:space="preserve">ПОКУПАТЕЛЬ</w:t>
      </w:r>
      <w:r>
        <w:rPr>
          <w:i/>
          <w:iCs/>
        </w:rPr>
        <w:t xml:space="preserve">"</w:t>
      </w:r>
      <w:r>
        <w:rPr>
          <w:b/>
          <w:i/>
          <w:iCs/>
        </w:rPr>
        <w:t xml:space="preserve">:</w:t>
      </w:r>
      <w:r>
        <w:rPr>
          <w:i/>
          <w:iCs/>
        </w:rPr>
        <w:t xml:space="preserve"> </w:t>
      </w:r>
      <w:r>
        <w:rPr>
          <w:i/>
          <w:iCs/>
        </w:rPr>
        <w:t xml:space="preserve"> </w:t>
      </w:r>
      <w:r>
        <w:rPr>
          <w:i/>
          <w:iCs/>
        </w:rPr>
      </w:r>
    </w:p>
    <w:p>
      <w:pPr>
        <w:rPr>
          <w:i/>
          <w:iCs/>
        </w:rPr>
      </w:pPr>
      <w:r>
        <w:rPr>
          <w:i/>
          <w:iCs/>
        </w:rPr>
      </w:r>
      <w:r>
        <w:rPr>
          <w:i/>
          <w:iCs/>
        </w:rPr>
      </w:r>
    </w:p>
    <w:p>
      <w:pPr>
        <w:rPr>
          <w:i/>
        </w:rPr>
      </w:pPr>
      <w:r>
        <w:rPr>
          <w:i/>
        </w:rPr>
      </w:r>
      <w:r>
        <w:rPr>
          <w:i/>
        </w:rPr>
      </w:r>
    </w:p>
    <w:p>
      <w:pPr>
        <w:rPr>
          <w:i/>
        </w:rPr>
      </w:pPr>
      <w:r>
        <w:rPr>
          <w:i/>
        </w:rPr>
      </w:r>
      <w:r>
        <w:rPr>
          <w:i/>
        </w:rPr>
      </w:r>
    </w:p>
    <w:p>
      <w:pPr>
        <w:rPr>
          <w:i/>
        </w:rPr>
      </w:pPr>
      <w:r>
        <w:rPr>
          <w:i/>
        </w:rPr>
      </w:r>
      <w:r>
        <w:rPr>
          <w:i/>
        </w:rPr>
      </w:r>
    </w:p>
    <w:p>
      <w:pPr>
        <w:rPr>
          <w:i/>
        </w:rPr>
      </w:pPr>
      <w:r>
        <w:rPr>
          <w:i/>
        </w:rPr>
      </w:r>
      <w:r>
        <w:rPr>
          <w:i/>
        </w:rPr>
      </w:r>
    </w:p>
    <w:p>
      <w:pPr>
        <w:jc w:val="center"/>
        <w:rPr>
          <w:b/>
          <w:sz w:val="24"/>
        </w:rPr>
        <w:outlineLvl w:val="0"/>
      </w:pPr>
      <w:r>
        <w:rPr>
          <w:b/>
          <w:sz w:val="24"/>
        </w:rPr>
        <w:t xml:space="preserve">ПОДПИСИ  СТОРОН</w:t>
      </w:r>
      <w:r>
        <w:rPr>
          <w:b/>
          <w:sz w:val="24"/>
        </w:rPr>
      </w:r>
    </w:p>
    <w:p>
      <w:pPr>
        <w:jc w:val="center"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jc w:val="center"/>
        <w:rPr>
          <w:sz w:val="24"/>
        </w:rPr>
      </w:pPr>
      <w:r>
        <w:rPr>
          <w:sz w:val="24"/>
        </w:rPr>
        <w:t xml:space="preserve">ПОСТАВЩИК       </w:t>
      </w:r>
      <w:r>
        <w:rPr>
          <w:sz w:val="24"/>
        </w:rPr>
        <w:t xml:space="preserve">             </w:t>
      </w:r>
      <w:r>
        <w:rPr>
          <w:sz w:val="24"/>
        </w:rPr>
        <w:t xml:space="preserve">                         </w:t>
      </w:r>
      <w:r>
        <w:rPr>
          <w:sz w:val="24"/>
        </w:rPr>
        <w:t xml:space="preserve">                     </w:t>
      </w:r>
      <w:r>
        <w:rPr>
          <w:sz w:val="24"/>
        </w:rPr>
        <w:t xml:space="preserve">     ПОКУПАТЕЛЬ</w:t>
      </w:r>
      <w:r>
        <w:rPr>
          <w:sz w:val="24"/>
        </w:rPr>
      </w:r>
    </w:p>
    <w:p>
      <w:pPr>
        <w:rPr>
          <w:iCs/>
          <w:sz w:val="22"/>
          <w:szCs w:val="22"/>
        </w:rPr>
        <w:outlineLvl w:val="0"/>
      </w:pPr>
      <w:r>
        <w:rPr>
          <w:iCs/>
          <w:sz w:val="22"/>
          <w:szCs w:val="22"/>
        </w:rPr>
        <w:t xml:space="preserve">                        </w:t>
      </w:r>
      <w:r>
        <w:rPr>
          <w:iCs/>
          <w:sz w:val="22"/>
          <w:szCs w:val="22"/>
        </w:rPr>
        <w:t xml:space="preserve">АО "ЧАМЗ"       </w:t>
      </w:r>
      <w:r>
        <w:rPr>
          <w:iCs/>
          <w:sz w:val="22"/>
          <w:szCs w:val="22"/>
        </w:rPr>
        <w:t xml:space="preserve">      </w:t>
      </w:r>
      <w:r>
        <w:rPr>
          <w:iCs/>
          <w:sz w:val="22"/>
          <w:szCs w:val="22"/>
        </w:rPr>
        <w:t xml:space="preserve">                       </w:t>
      </w:r>
      <w:r>
        <w:rPr>
          <w:iCs/>
          <w:sz w:val="22"/>
          <w:szCs w:val="22"/>
        </w:rPr>
        <w:t xml:space="preserve">                                     </w:t>
      </w:r>
      <w:r>
        <w:rPr>
          <w:iCs/>
          <w:sz w:val="22"/>
          <w:szCs w:val="22"/>
        </w:rPr>
        <w:t xml:space="preserve">        </w:t>
      </w:r>
      <w:bookmarkStart w:id="0" w:name="_GoBack"/>
      <w:r/>
      <w:bookmarkEnd w:id="0"/>
      <w:r>
        <w:rPr>
          <w:iCs/>
          <w:sz w:val="22"/>
          <w:szCs w:val="22"/>
        </w:rPr>
        <w:t xml:space="preserve">   </w:t>
      </w:r>
      <w:r>
        <w:rPr>
          <w:iCs/>
          <w:sz w:val="22"/>
          <w:szCs w:val="22"/>
        </w:rPr>
        <w:t xml:space="preserve">________________</w:t>
      </w:r>
      <w:r>
        <w:rPr>
          <w:iCs/>
          <w:sz w:val="22"/>
          <w:szCs w:val="22"/>
        </w:rPr>
      </w:r>
    </w:p>
    <w:p>
      <w:pPr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jc w:val="center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rPr>
          <w:sz w:val="24"/>
        </w:rPr>
      </w:pPr>
      <w:r>
        <w:rPr>
          <w:sz w:val="24"/>
        </w:rPr>
        <w:t xml:space="preserve">_____________________</w:t>
      </w:r>
      <w:r>
        <w:rPr>
          <w:sz w:val="24"/>
        </w:rPr>
        <w:t xml:space="preserve">__________</w:t>
      </w:r>
      <w:r>
        <w:rPr>
          <w:sz w:val="24"/>
        </w:rPr>
        <w:t xml:space="preserve">___                    </w:t>
      </w:r>
      <w:r>
        <w:rPr>
          <w:sz w:val="24"/>
        </w:rPr>
        <w:t xml:space="preserve">        </w:t>
      </w:r>
      <w:r>
        <w:rPr>
          <w:sz w:val="24"/>
        </w:rPr>
        <w:t xml:space="preserve"> _____________________</w:t>
      </w:r>
      <w:r>
        <w:rPr>
          <w:sz w:val="24"/>
        </w:rPr>
        <w:t xml:space="preserve">__________</w:t>
      </w:r>
      <w:r>
        <w:rPr>
          <w:sz w:val="24"/>
        </w:rPr>
        <w:t xml:space="preserve">___                                     </w:t>
      </w:r>
      <w:r>
        <w:rPr>
          <w:sz w:val="24"/>
        </w:rPr>
      </w:r>
    </w:p>
    <w:p>
      <w:pPr>
        <w:pStyle w:val="895"/>
        <w:rPr>
          <w:sz w:val="20"/>
          <w:lang w:val="ru-RU"/>
        </w:rPr>
      </w:pPr>
      <w:r>
        <w:rPr>
          <w:sz w:val="20"/>
          <w:szCs w:val="24"/>
          <w:lang w:val="ru-RU"/>
        </w:rPr>
        <w:t xml:space="preserve">          </w:t>
      </w:r>
      <w:r>
        <w:rPr>
          <w:sz w:val="20"/>
          <w:szCs w:val="24"/>
          <w:lang w:val="ru-RU"/>
        </w:rPr>
        <w:t xml:space="preserve"> </w:t>
      </w:r>
      <w:r>
        <w:rPr>
          <w:sz w:val="20"/>
          <w:szCs w:val="24"/>
          <w:lang w:val="ru-RU"/>
        </w:rPr>
        <w:t xml:space="preserve">Генеральный директор А.Е. Батяев                                                      </w:t>
      </w:r>
      <w:r>
        <w:rPr>
          <w:sz w:val="20"/>
          <w:szCs w:val="24"/>
          <w:lang w:val="ru-RU"/>
        </w:rPr>
        <w:t xml:space="preserve">_________________________________</w:t>
      </w:r>
      <w:r>
        <w:rPr>
          <w:sz w:val="20"/>
          <w:lang w:val="ru-RU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426" w:right="851" w:bottom="284" w:left="1134" w:header="720" w:footer="78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00"/>
      </w:rPr>
      <w:framePr w:wrap="around" w:vAnchor="text" w:hAnchor="margin" w:xAlign="right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separate"/>
    </w:r>
    <w:r>
      <w:rPr>
        <w:rStyle w:val="900"/>
      </w:rPr>
      <w:t xml:space="preserve">1</w:t>
    </w:r>
    <w:r>
      <w:rPr>
        <w:rStyle w:val="900"/>
      </w:rPr>
      <w:fldChar w:fldCharType="end"/>
    </w:r>
    <w:r>
      <w:rPr>
        <w:rStyle w:val="900"/>
      </w:rPr>
    </w:r>
  </w:p>
  <w:p>
    <w:pPr>
      <w:pStyle w:val="899"/>
      <w:ind w:right="360"/>
    </w:pPr>
    <w:r/>
    <w:r/>
  </w:p>
  <w:p>
    <w:pPr>
      <w:pStyle w:val="899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rPr>
        <w:rStyle w:val="900"/>
      </w:rPr>
      <w:framePr w:wrap="around" w:vAnchor="text" w:hAnchor="margin" w:xAlign="right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</w:p>
  <w:p>
    <w:pPr>
      <w:pStyle w:val="899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  <w:rPr>
        <w:b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80" w:hanging="480"/>
        <w:tabs>
          <w:tab w:val="num" w:pos="48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540" w:hanging="480"/>
        <w:tabs>
          <w:tab w:val="num" w:pos="54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840" w:hanging="720"/>
        <w:tabs>
          <w:tab w:val="num" w:pos="840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900" w:hanging="720"/>
        <w:tabs>
          <w:tab w:val="num" w:pos="90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320" w:hanging="1080"/>
        <w:tabs>
          <w:tab w:val="num" w:pos="132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380" w:hanging="1080"/>
        <w:tabs>
          <w:tab w:val="num" w:pos="138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0" w:hanging="1440"/>
        <w:tabs>
          <w:tab w:val="num" w:pos="186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80" w:hanging="1800"/>
        <w:tabs>
          <w:tab w:val="num" w:pos="2280" w:leader="none"/>
        </w:tabs>
      </w:pPr>
      <w:rPr>
        <w:b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20" w:hanging="420"/>
        <w:tabs>
          <w:tab w:val="num" w:pos="42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  <w:tabs>
          <w:tab w:val="num" w:pos="495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95" w:hanging="495"/>
        <w:tabs>
          <w:tab w:val="num" w:pos="495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5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2"/>
      <w:numFmt w:val="decimal"/>
      <w:isLgl w:val="false"/>
      <w:suff w:val="tab"/>
      <w:lvlText w:val="%1.%2."/>
      <w:lvlJc w:val="left"/>
      <w:pPr>
        <w:ind w:left="420" w:hanging="360"/>
        <w:tabs>
          <w:tab w:val="num" w:pos="4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840" w:hanging="720"/>
        <w:tabs>
          <w:tab w:val="num" w:pos="8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900" w:hanging="720"/>
        <w:tabs>
          <w:tab w:val="num" w:pos="9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320" w:hanging="1080"/>
        <w:tabs>
          <w:tab w:val="num" w:pos="13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380" w:hanging="1080"/>
        <w:tabs>
          <w:tab w:val="num" w:pos="13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440"/>
        <w:tabs>
          <w:tab w:val="num" w:pos="18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60" w:hanging="1440"/>
        <w:tabs>
          <w:tab w:val="num" w:pos="18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280" w:hanging="1800"/>
        <w:tabs>
          <w:tab w:val="num" w:pos="228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420" w:hanging="420"/>
        <w:tabs>
          <w:tab w:val="num" w:pos="42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  <w:tabs>
          <w:tab w:val="num" w:pos="1800" w:leader="none"/>
        </w:tabs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  <w:tabs>
          <w:tab w:val="num" w:pos="720" w:leader="none"/>
        </w:tabs>
      </w:pPr>
      <w:rPr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  <w:tabs>
          <w:tab w:val="num" w:pos="1080" w:leader="none"/>
        </w:tabs>
      </w:pPr>
      <w:rPr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  <w:tabs>
          <w:tab w:val="num" w:pos="1440" w:leader="none"/>
        </w:tabs>
      </w:pPr>
      <w:rPr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  <w:tabs>
          <w:tab w:val="num" w:pos="1800" w:leader="none"/>
        </w:tabs>
      </w:pPr>
      <w:rPr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2160"/>
        <w:tabs>
          <w:tab w:val="num" w:pos="2160" w:leader="none"/>
        </w:tabs>
      </w:pPr>
      <w:rPr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  <w:rPr>
        <w:b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ind w:left="360" w:hanging="360"/>
        <w:tabs>
          <w:tab w:val="num" w:pos="36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  <w:tabs>
          <w:tab w:val="num" w:pos="72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  <w:tabs>
          <w:tab w:val="num" w:pos="72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  <w:tabs>
          <w:tab w:val="num" w:pos="108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ind w:left="1080" w:hanging="1080"/>
        <w:tabs>
          <w:tab w:val="num" w:pos="108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  <w:tabs>
          <w:tab w:val="num" w:pos="144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  <w:tabs>
          <w:tab w:val="num" w:pos="1800" w:leader="none"/>
        </w:tabs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35">
    <w:name w:val="Title Char"/>
    <w:basedOn w:val="714"/>
    <w:link w:val="737"/>
    <w:uiPriority w:val="10"/>
    <w:rPr>
      <w:sz w:val="48"/>
      <w:szCs w:val="48"/>
    </w:rPr>
  </w:style>
  <w:style w:type="character" w:styleId="37">
    <w:name w:val="Subtitle Char"/>
    <w:basedOn w:val="714"/>
    <w:link w:val="739"/>
    <w:uiPriority w:val="11"/>
    <w:rPr>
      <w:sz w:val="24"/>
      <w:szCs w:val="24"/>
    </w:rPr>
  </w:style>
  <w:style w:type="character" w:styleId="39">
    <w:name w:val="Quote Char"/>
    <w:link w:val="741"/>
    <w:uiPriority w:val="29"/>
    <w:rPr>
      <w:i/>
    </w:rPr>
  </w:style>
  <w:style w:type="character" w:styleId="41">
    <w:name w:val="Intense Quote Char"/>
    <w:link w:val="743"/>
    <w:uiPriority w:val="30"/>
    <w:rPr>
      <w:i/>
    </w:rPr>
  </w:style>
  <w:style w:type="character" w:styleId="176">
    <w:name w:val="Footnote Text Char"/>
    <w:link w:val="878"/>
    <w:uiPriority w:val="99"/>
    <w:rPr>
      <w:sz w:val="18"/>
    </w:rPr>
  </w:style>
  <w:style w:type="character" w:styleId="179">
    <w:name w:val="Endnote Text Char"/>
    <w:link w:val="881"/>
    <w:uiPriority w:val="99"/>
    <w:rPr>
      <w:sz w:val="20"/>
    </w:rPr>
  </w:style>
  <w:style w:type="paragraph" w:styleId="711" w:default="1">
    <w:name w:val="Normal"/>
    <w:qFormat/>
  </w:style>
  <w:style w:type="paragraph" w:styleId="712">
    <w:name w:val="Heading 1"/>
    <w:basedOn w:val="711"/>
    <w:next w:val="711"/>
    <w:pPr>
      <w:keepNext/>
      <w:outlineLvl w:val="0"/>
    </w:pPr>
    <w:rPr>
      <w:sz w:val="24"/>
    </w:rPr>
  </w:style>
  <w:style w:type="paragraph" w:styleId="713">
    <w:name w:val="Heading 2"/>
    <w:basedOn w:val="711"/>
    <w:next w:val="711"/>
    <w:pPr>
      <w:jc w:val="center"/>
      <w:keepNext/>
      <w:outlineLvl w:val="1"/>
    </w:pPr>
    <w:rPr>
      <w:sz w:val="24"/>
    </w:rPr>
  </w:style>
  <w:style w:type="character" w:styleId="714" w:default="1">
    <w:name w:val="Default Paragraph Font"/>
    <w:uiPriority w:val="1"/>
    <w:semiHidden/>
    <w:unhideWhenUsed/>
  </w:style>
  <w:style w:type="table" w:styleId="715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16" w:default="1">
    <w:name w:val="No List"/>
    <w:uiPriority w:val="99"/>
    <w:semiHidden/>
    <w:unhideWhenUsed/>
  </w:style>
  <w:style w:type="paragraph" w:styleId="717" w:customStyle="1">
    <w:name w:val="Heading 1"/>
    <w:link w:val="71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8" w:customStyle="1">
    <w:name w:val="Heading 1 Char"/>
    <w:link w:val="717"/>
    <w:uiPriority w:val="9"/>
    <w:rPr>
      <w:rFonts w:ascii="Arial" w:hAnsi="Arial" w:eastAsia="Arial" w:cs="Arial"/>
      <w:sz w:val="40"/>
      <w:szCs w:val="40"/>
    </w:rPr>
  </w:style>
  <w:style w:type="paragraph" w:styleId="719" w:customStyle="1">
    <w:name w:val="Heading 2"/>
    <w:link w:val="72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0" w:customStyle="1">
    <w:name w:val="Heading 2 Char"/>
    <w:link w:val="719"/>
    <w:uiPriority w:val="9"/>
    <w:rPr>
      <w:rFonts w:ascii="Arial" w:hAnsi="Arial" w:eastAsia="Arial" w:cs="Arial"/>
      <w:sz w:val="34"/>
    </w:rPr>
  </w:style>
  <w:style w:type="paragraph" w:styleId="721" w:customStyle="1">
    <w:name w:val="Heading 3"/>
    <w:link w:val="72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2" w:customStyle="1">
    <w:name w:val="Heading 3 Char"/>
    <w:link w:val="721"/>
    <w:uiPriority w:val="9"/>
    <w:rPr>
      <w:rFonts w:ascii="Arial" w:hAnsi="Arial" w:eastAsia="Arial" w:cs="Arial"/>
      <w:sz w:val="30"/>
      <w:szCs w:val="30"/>
    </w:rPr>
  </w:style>
  <w:style w:type="paragraph" w:styleId="723" w:customStyle="1">
    <w:name w:val="Heading 4"/>
    <w:link w:val="72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4" w:customStyle="1">
    <w:name w:val="Heading 4 Char"/>
    <w:link w:val="723"/>
    <w:uiPriority w:val="9"/>
    <w:rPr>
      <w:rFonts w:ascii="Arial" w:hAnsi="Arial" w:eastAsia="Arial" w:cs="Arial"/>
      <w:b/>
      <w:bCs/>
      <w:sz w:val="26"/>
      <w:szCs w:val="26"/>
    </w:rPr>
  </w:style>
  <w:style w:type="paragraph" w:styleId="725" w:customStyle="1">
    <w:name w:val="Heading 5"/>
    <w:link w:val="72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6" w:customStyle="1">
    <w:name w:val="Heading 5 Char"/>
    <w:link w:val="725"/>
    <w:uiPriority w:val="9"/>
    <w:rPr>
      <w:rFonts w:ascii="Arial" w:hAnsi="Arial" w:eastAsia="Arial" w:cs="Arial"/>
      <w:b/>
      <w:bCs/>
      <w:sz w:val="24"/>
      <w:szCs w:val="24"/>
    </w:rPr>
  </w:style>
  <w:style w:type="paragraph" w:styleId="727" w:customStyle="1">
    <w:name w:val="Heading 6"/>
    <w:link w:val="72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8" w:customStyle="1">
    <w:name w:val="Heading 6 Char"/>
    <w:link w:val="727"/>
    <w:uiPriority w:val="9"/>
    <w:rPr>
      <w:rFonts w:ascii="Arial" w:hAnsi="Arial" w:eastAsia="Arial" w:cs="Arial"/>
      <w:b/>
      <w:bCs/>
      <w:sz w:val="22"/>
      <w:szCs w:val="22"/>
    </w:rPr>
  </w:style>
  <w:style w:type="paragraph" w:styleId="729" w:customStyle="1">
    <w:name w:val="Heading 7"/>
    <w:link w:val="73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0" w:customStyle="1">
    <w:name w:val="Heading 7 Char"/>
    <w:link w:val="72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1" w:customStyle="1">
    <w:name w:val="Heading 8"/>
    <w:link w:val="73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8 Char"/>
    <w:link w:val="731"/>
    <w:uiPriority w:val="9"/>
    <w:rPr>
      <w:rFonts w:ascii="Arial" w:hAnsi="Arial" w:eastAsia="Arial" w:cs="Arial"/>
      <w:i/>
      <w:iCs/>
      <w:sz w:val="22"/>
      <w:szCs w:val="22"/>
    </w:rPr>
  </w:style>
  <w:style w:type="paragraph" w:styleId="733" w:customStyle="1">
    <w:name w:val="Heading 9"/>
    <w:link w:val="7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4" w:customStyle="1">
    <w:name w:val="Heading 9 Char"/>
    <w:link w:val="733"/>
    <w:uiPriority w:val="9"/>
    <w:rPr>
      <w:rFonts w:ascii="Arial" w:hAnsi="Arial" w:eastAsia="Arial" w:cs="Arial"/>
      <w:i/>
      <w:iCs/>
      <w:sz w:val="21"/>
      <w:szCs w:val="21"/>
    </w:rPr>
  </w:style>
  <w:style w:type="paragraph" w:styleId="735">
    <w:name w:val="List Paragraph"/>
    <w:uiPriority w:val="34"/>
    <w:qFormat/>
    <w:pPr>
      <w:contextualSpacing/>
      <w:ind w:left="720"/>
    </w:pPr>
  </w:style>
  <w:style w:type="paragraph" w:styleId="736">
    <w:name w:val="No Spacing"/>
    <w:uiPriority w:val="1"/>
    <w:qFormat/>
  </w:style>
  <w:style w:type="paragraph" w:styleId="737">
    <w:name w:val="Title"/>
    <w:basedOn w:val="711"/>
    <w:link w:val="738"/>
    <w:pPr>
      <w:jc w:val="center"/>
    </w:pPr>
    <w:rPr>
      <w:b/>
      <w:sz w:val="28"/>
    </w:rPr>
  </w:style>
  <w:style w:type="character" w:styleId="738" w:customStyle="1">
    <w:name w:val="Название Знак"/>
    <w:link w:val="737"/>
    <w:uiPriority w:val="10"/>
    <w:rPr>
      <w:sz w:val="48"/>
      <w:szCs w:val="48"/>
    </w:rPr>
  </w:style>
  <w:style w:type="paragraph" w:styleId="739">
    <w:name w:val="Subtitle"/>
    <w:link w:val="740"/>
    <w:uiPriority w:val="11"/>
    <w:qFormat/>
    <w:pPr>
      <w:spacing w:before="200" w:after="200"/>
    </w:pPr>
    <w:rPr>
      <w:sz w:val="24"/>
      <w:szCs w:val="24"/>
    </w:rPr>
  </w:style>
  <w:style w:type="character" w:styleId="740" w:customStyle="1">
    <w:name w:val="Подзаголовок Знак"/>
    <w:link w:val="739"/>
    <w:uiPriority w:val="11"/>
    <w:rPr>
      <w:sz w:val="24"/>
      <w:szCs w:val="24"/>
    </w:rPr>
  </w:style>
  <w:style w:type="paragraph" w:styleId="741">
    <w:name w:val="Quote"/>
    <w:link w:val="742"/>
    <w:uiPriority w:val="29"/>
    <w:qFormat/>
    <w:pPr>
      <w:ind w:left="720" w:right="720"/>
    </w:pPr>
    <w:rPr>
      <w:i/>
    </w:rPr>
  </w:style>
  <w:style w:type="character" w:styleId="742" w:customStyle="1">
    <w:name w:val="Цитата 2 Знак"/>
    <w:link w:val="741"/>
    <w:uiPriority w:val="29"/>
    <w:rPr>
      <w:i/>
    </w:rPr>
  </w:style>
  <w:style w:type="paragraph" w:styleId="743">
    <w:name w:val="Intense Quote"/>
    <w:link w:val="744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4" w:customStyle="1">
    <w:name w:val="Выделенная цитата Знак"/>
    <w:link w:val="743"/>
    <w:uiPriority w:val="30"/>
    <w:rPr>
      <w:i/>
    </w:rPr>
  </w:style>
  <w:style w:type="paragraph" w:styleId="745" w:customStyle="1">
    <w:name w:val="Header"/>
    <w:link w:val="746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6" w:customStyle="1">
    <w:name w:val="Header Char"/>
    <w:link w:val="745"/>
    <w:uiPriority w:val="99"/>
  </w:style>
  <w:style w:type="paragraph" w:styleId="747" w:customStyle="1">
    <w:name w:val="Footer"/>
    <w:link w:val="750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48" w:customStyle="1">
    <w:name w:val="Footer Char"/>
    <w:link w:val="747"/>
    <w:uiPriority w:val="99"/>
  </w:style>
  <w:style w:type="paragraph" w:styleId="749" w:customStyle="1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50" w:customStyle="1">
    <w:name w:val="Caption Char"/>
    <w:link w:val="747"/>
    <w:uiPriority w:val="99"/>
  </w:style>
  <w:style w:type="table" w:styleId="751">
    <w:name w:val="Table Grid"/>
    <w:uiPriority w:val="59"/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2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3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auto"/>
      </w:tcPr>
    </w:tblStylePr>
    <w:tblStylePr w:type="band1Vert">
      <w:tcPr>
        <w:shd w:val="clear" w:color="f2f2f2" w:themeColor="text1" w:themeTint="0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4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5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0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81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82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83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84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85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86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auto"/>
      </w:tcPr>
    </w:tblStylePr>
    <w:tblStylePr w:type="band1Vert">
      <w:tcPr>
        <w:shd w:val="clear" w:color="8a8a8a" w:themeColor="tex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auto"/>
        <w:tcBorders>
          <w:top w:val="single" w:color="FFFFFF" w:themeColor="light1" w:sz="4" w:space="0"/>
        </w:tcBorders>
      </w:tcPr>
    </w:tblStylePr>
  </w:style>
  <w:style w:type="table" w:styleId="787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uto"/>
      </w:tcPr>
    </w:tblStylePr>
    <w:tblStylePr w:type="band1Vert">
      <w:tcPr>
        <w:shd w:val="clear" w:color="aec4e0" w:themeColor="accent1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</w:style>
  <w:style w:type="table" w:styleId="788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auto"/>
      </w:tcPr>
    </w:tblStylePr>
    <w:tblStylePr w:type="band1Vert">
      <w:tcPr>
        <w:shd w:val="clear" w:color="e2aead" w:themeColor="accent2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</w:style>
  <w:style w:type="table" w:styleId="789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auto"/>
      </w:tcPr>
    </w:tblStylePr>
    <w:tblStylePr w:type="band1Vert">
      <w:tcPr>
        <w:shd w:val="clear" w:color="d0dfb2" w:themeColor="accent3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</w:style>
  <w:style w:type="table" w:styleId="790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auto"/>
      </w:tcPr>
    </w:tblStylePr>
    <w:tblStylePr w:type="band1Vert">
      <w:tcPr>
        <w:shd w:val="clear" w:color="c4b7d4" w:themeColor="accent4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</w:style>
  <w:style w:type="table" w:styleId="791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uto"/>
      </w:tcPr>
    </w:tblStylePr>
    <w:tblStylePr w:type="band1Vert">
      <w:tcPr>
        <w:shd w:val="clear" w:color="acd8e4" w:themeColor="accent5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</w:style>
  <w:style w:type="table" w:styleId="792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auto"/>
      </w:tcPr>
    </w:tblStylePr>
    <w:tblStylePr w:type="band1Vert">
      <w:tcPr>
        <w:shd w:val="clear" w:color="fbceaa" w:themeColor="accent6" w:themeTint="7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</w:style>
  <w:style w:type="table" w:styleId="793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auto"/>
      </w:tcPr>
    </w:tblStylePr>
    <w:tblStylePr w:type="band1Vert"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94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95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96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97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98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99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00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auto"/>
      </w:tcPr>
    </w:tblStylePr>
    <w:tblStylePr w:type="band1Vert">
      <w:tcPr>
        <w:shd w:val="clear" w:color="f2f2f2" w:themeColor="text1" w:themeTint="0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1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auto"/>
      </w:tcPr>
    </w:tblStylePr>
    <w:tblStylePr w:type="band1Vert"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2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auto"/>
      </w:tcPr>
    </w:tblStylePr>
    <w:tblStylePr w:type="band1Vert"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3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auto"/>
      </w:tcPr>
    </w:tblStylePr>
    <w:tblStylePr w:type="band1Vert"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4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auto"/>
      </w:tcPr>
    </w:tblStylePr>
    <w:tblStylePr w:type="band1Vert"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5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auto"/>
      </w:tcPr>
    </w:tblStylePr>
    <w:tblStylePr w:type="band1Vert"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6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auto"/>
      </w:tcPr>
    </w:tblStylePr>
    <w:tblStylePr w:type="band1Vert"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7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15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816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817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818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819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820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821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auto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6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7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8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39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0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1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2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43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44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45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46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47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48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49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auto"/>
      </w:tcPr>
    </w:tblStylePr>
    <w:tblStylePr w:type="band1Vert"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0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auto"/>
      </w:tcPr>
    </w:tblStylePr>
    <w:tblStylePr w:type="band1Vert"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auto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1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auto"/>
      </w:tcPr>
    </w:tblStylePr>
    <w:tblStylePr w:type="band1Vert"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2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auto"/>
      </w:tcPr>
    </w:tblStylePr>
    <w:tblStylePr w:type="band1Vert"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3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auto"/>
      </w:tcPr>
    </w:tblStylePr>
    <w:tblStylePr w:type="band1Vert"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4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auto"/>
      </w:tcPr>
    </w:tblStylePr>
    <w:tblStylePr w:type="band1Vert"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5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auto"/>
      </w:tcPr>
    </w:tblStylePr>
    <w:tblStylePr w:type="band1Vert"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56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57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858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859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860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61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62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63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auto"/>
      </w:tcPr>
    </w:tblStylePr>
  </w:style>
  <w:style w:type="table" w:styleId="864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auto"/>
      </w:tcPr>
    </w:tblStylePr>
  </w:style>
  <w:style w:type="table" w:styleId="865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auto"/>
      </w:tcPr>
    </w:tblStylePr>
  </w:style>
  <w:style w:type="table" w:styleId="866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auto"/>
      </w:tcPr>
    </w:tblStylePr>
  </w:style>
  <w:style w:type="table" w:styleId="867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</w:style>
  <w:style w:type="table" w:styleId="868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</w:style>
  <w:style w:type="table" w:styleId="869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</w:style>
  <w:style w:type="table" w:styleId="870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71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72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73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74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75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76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77">
    <w:name w:val="Hyperlink"/>
    <w:rPr>
      <w:color w:val="0000ff"/>
      <w:u w:val="single"/>
    </w:rPr>
  </w:style>
  <w:style w:type="paragraph" w:styleId="878">
    <w:name w:val="footnote text"/>
    <w:link w:val="879"/>
    <w:uiPriority w:val="99"/>
    <w:semiHidden/>
    <w:unhideWhenUsed/>
    <w:pPr>
      <w:spacing w:after="40"/>
    </w:pPr>
    <w:rPr>
      <w:sz w:val="18"/>
    </w:rPr>
  </w:style>
  <w:style w:type="character" w:styleId="879" w:customStyle="1">
    <w:name w:val="Текст сноски Знак"/>
    <w:link w:val="878"/>
    <w:uiPriority w:val="99"/>
    <w:rPr>
      <w:sz w:val="18"/>
    </w:rPr>
  </w:style>
  <w:style w:type="character" w:styleId="880">
    <w:name w:val="footnote reference"/>
    <w:uiPriority w:val="99"/>
    <w:unhideWhenUsed/>
    <w:rPr>
      <w:vertAlign w:val="superscript"/>
    </w:rPr>
  </w:style>
  <w:style w:type="paragraph" w:styleId="881">
    <w:name w:val="endnote text"/>
    <w:link w:val="882"/>
    <w:uiPriority w:val="99"/>
    <w:semiHidden/>
    <w:unhideWhenUsed/>
  </w:style>
  <w:style w:type="character" w:styleId="882" w:customStyle="1">
    <w:name w:val="Текст концевой сноски Знак"/>
    <w:link w:val="881"/>
    <w:uiPriority w:val="99"/>
    <w:rPr>
      <w:sz w:val="20"/>
    </w:rPr>
  </w:style>
  <w:style w:type="character" w:styleId="883">
    <w:name w:val="endnote reference"/>
    <w:uiPriority w:val="99"/>
    <w:semiHidden/>
    <w:unhideWhenUsed/>
    <w:rPr>
      <w:vertAlign w:val="superscript"/>
    </w:rPr>
  </w:style>
  <w:style w:type="paragraph" w:styleId="884">
    <w:name w:val="toc 1"/>
    <w:uiPriority w:val="39"/>
    <w:unhideWhenUsed/>
    <w:pPr>
      <w:spacing w:after="57"/>
    </w:pPr>
  </w:style>
  <w:style w:type="paragraph" w:styleId="885">
    <w:name w:val="toc 2"/>
    <w:uiPriority w:val="39"/>
    <w:unhideWhenUsed/>
    <w:pPr>
      <w:ind w:left="283"/>
      <w:spacing w:after="57"/>
    </w:pPr>
  </w:style>
  <w:style w:type="paragraph" w:styleId="886">
    <w:name w:val="toc 3"/>
    <w:uiPriority w:val="39"/>
    <w:unhideWhenUsed/>
    <w:pPr>
      <w:ind w:left="567"/>
      <w:spacing w:after="57"/>
    </w:pPr>
  </w:style>
  <w:style w:type="paragraph" w:styleId="887">
    <w:name w:val="toc 4"/>
    <w:uiPriority w:val="39"/>
    <w:unhideWhenUsed/>
    <w:pPr>
      <w:ind w:left="850"/>
      <w:spacing w:after="57"/>
    </w:pPr>
  </w:style>
  <w:style w:type="paragraph" w:styleId="888">
    <w:name w:val="toc 5"/>
    <w:uiPriority w:val="39"/>
    <w:unhideWhenUsed/>
    <w:pPr>
      <w:ind w:left="1134"/>
      <w:spacing w:after="57"/>
    </w:pPr>
  </w:style>
  <w:style w:type="paragraph" w:styleId="889">
    <w:name w:val="toc 6"/>
    <w:uiPriority w:val="39"/>
    <w:unhideWhenUsed/>
    <w:pPr>
      <w:ind w:left="1417"/>
      <w:spacing w:after="57"/>
    </w:pPr>
  </w:style>
  <w:style w:type="paragraph" w:styleId="890">
    <w:name w:val="toc 7"/>
    <w:uiPriority w:val="39"/>
    <w:unhideWhenUsed/>
    <w:pPr>
      <w:ind w:left="1701"/>
      <w:spacing w:after="57"/>
    </w:pPr>
  </w:style>
  <w:style w:type="paragraph" w:styleId="891">
    <w:name w:val="toc 8"/>
    <w:uiPriority w:val="39"/>
    <w:unhideWhenUsed/>
    <w:pPr>
      <w:ind w:left="1984"/>
      <w:spacing w:after="57"/>
    </w:pPr>
  </w:style>
  <w:style w:type="paragraph" w:styleId="892">
    <w:name w:val="toc 9"/>
    <w:uiPriority w:val="39"/>
    <w:unhideWhenUsed/>
    <w:pPr>
      <w:ind w:left="2268"/>
      <w:spacing w:after="57"/>
    </w:pPr>
  </w:style>
  <w:style w:type="paragraph" w:styleId="893">
    <w:name w:val="TOC Heading"/>
    <w:uiPriority w:val="39"/>
    <w:unhideWhenUsed/>
  </w:style>
  <w:style w:type="paragraph" w:styleId="894">
    <w:name w:val="table of figures"/>
    <w:uiPriority w:val="99"/>
    <w:unhideWhenUsed/>
  </w:style>
  <w:style w:type="paragraph" w:styleId="895">
    <w:name w:val="Body Text"/>
    <w:basedOn w:val="711"/>
    <w:link w:val="907"/>
    <w:rPr>
      <w:sz w:val="24"/>
      <w:lang w:val="en-US" w:eastAsia="en-US"/>
    </w:rPr>
  </w:style>
  <w:style w:type="paragraph" w:styleId="896">
    <w:name w:val="Body Text 2"/>
    <w:basedOn w:val="711"/>
    <w:pPr>
      <w:jc w:val="both"/>
    </w:pPr>
    <w:rPr>
      <w:sz w:val="24"/>
    </w:rPr>
  </w:style>
  <w:style w:type="paragraph" w:styleId="897">
    <w:name w:val="Document Map"/>
    <w:basedOn w:val="711"/>
    <w:semiHidden/>
    <w:pPr>
      <w:shd w:val="clear" w:color="auto" w:fill="000080"/>
    </w:pPr>
    <w:rPr>
      <w:rFonts w:ascii="Tahoma" w:hAnsi="Tahoma"/>
    </w:rPr>
  </w:style>
  <w:style w:type="paragraph" w:styleId="898">
    <w:name w:val="Header"/>
    <w:basedOn w:val="711"/>
    <w:pPr>
      <w:tabs>
        <w:tab w:val="center" w:pos="4153" w:leader="none"/>
        <w:tab w:val="right" w:pos="8306" w:leader="none"/>
      </w:tabs>
    </w:pPr>
  </w:style>
  <w:style w:type="paragraph" w:styleId="899">
    <w:name w:val="Footer"/>
    <w:basedOn w:val="711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714"/>
  </w:style>
  <w:style w:type="paragraph" w:styleId="901">
    <w:name w:val="List"/>
    <w:basedOn w:val="711"/>
    <w:pPr>
      <w:ind w:left="283" w:hanging="283"/>
    </w:pPr>
  </w:style>
  <w:style w:type="paragraph" w:styleId="902">
    <w:name w:val="List 2"/>
    <w:basedOn w:val="711"/>
    <w:pPr>
      <w:ind w:left="566" w:hanging="283"/>
    </w:pPr>
  </w:style>
  <w:style w:type="paragraph" w:styleId="903">
    <w:name w:val="List 3"/>
    <w:basedOn w:val="711"/>
    <w:pPr>
      <w:ind w:left="849" w:hanging="283"/>
    </w:pPr>
  </w:style>
  <w:style w:type="paragraph" w:styleId="904">
    <w:name w:val="List Continue"/>
    <w:basedOn w:val="711"/>
    <w:pPr>
      <w:ind w:left="283"/>
      <w:spacing w:after="120"/>
    </w:pPr>
  </w:style>
  <w:style w:type="paragraph" w:styleId="905">
    <w:name w:val="Body Text Indent"/>
    <w:basedOn w:val="711"/>
    <w:pPr>
      <w:ind w:left="283"/>
      <w:spacing w:after="120"/>
    </w:pPr>
  </w:style>
  <w:style w:type="paragraph" w:styleId="906">
    <w:name w:val="Balloon Text"/>
    <w:basedOn w:val="711"/>
    <w:semiHidden/>
    <w:rPr>
      <w:rFonts w:ascii="Tahoma" w:hAnsi="Tahoma"/>
      <w:sz w:val="16"/>
      <w:szCs w:val="16"/>
    </w:rPr>
  </w:style>
  <w:style w:type="character" w:styleId="907" w:customStyle="1">
    <w:name w:val="Основной текст Знак"/>
    <w:link w:val="895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Relationship Id="rId11" Type="http://schemas.openxmlformats.org/officeDocument/2006/relationships/hyperlink" Target="mailto:komdepart@cham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Евгасов Тимур</cp:lastModifiedBy>
  <cp:revision>16</cp:revision>
  <dcterms:created xsi:type="dcterms:W3CDTF">2022-01-31T09:43:00Z</dcterms:created>
  <dcterms:modified xsi:type="dcterms:W3CDTF">2024-08-28T04:13:42Z</dcterms:modified>
</cp:coreProperties>
</file>